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80" w:before="80" w:line="288" w:lineRule="auto"/>
        <w:rPr>
          <w:b w:val="1"/>
          <w:sz w:val="26"/>
          <w:szCs w:val="26"/>
        </w:rPr>
      </w:pPr>
      <w:r w:rsidDel="00000000" w:rsidR="00000000" w:rsidRPr="00000000">
        <w:rPr>
          <w:b w:val="1"/>
          <w:sz w:val="26"/>
          <w:szCs w:val="26"/>
          <w:rtl w:val="0"/>
        </w:rPr>
        <w:t xml:space="preserve">Identifying the Legal Drivers that Require or Support the Data Sharing</w:t>
      </w:r>
    </w:p>
    <w:p w:rsidR="00000000" w:rsidDel="00000000" w:rsidP="00000000" w:rsidRDefault="00000000" w:rsidRPr="00000000" w14:paraId="00000002">
      <w:pPr>
        <w:spacing w:after="80" w:before="80" w:line="288" w:lineRule="auto"/>
        <w:rPr/>
      </w:pPr>
      <w:r w:rsidDel="00000000" w:rsidR="00000000" w:rsidRPr="00000000">
        <w:rPr>
          <w:rtl w:val="0"/>
        </w:rPr>
        <w:t xml:space="preserve">Before you agree to share data you must establish a suitable lawful basis that meets your purpose. For public sector work there are usually drivers in law for what you want to do, though there are other options listed below, to show why it is justifiable for you to use and share personal data: </w:t>
      </w:r>
    </w:p>
    <w:p w:rsidR="00000000" w:rsidDel="00000000" w:rsidP="00000000" w:rsidRDefault="00000000" w:rsidRPr="00000000" w14:paraId="00000003">
      <w:pPr>
        <w:numPr>
          <w:ilvl w:val="0"/>
          <w:numId w:val="1"/>
        </w:numPr>
        <w:spacing w:after="0" w:afterAutospacing="0" w:before="80" w:line="288" w:lineRule="auto"/>
        <w:ind w:left="720" w:hanging="360"/>
        <w:rPr>
          <w:u w:val="none"/>
        </w:rPr>
      </w:pPr>
      <w:r w:rsidDel="00000000" w:rsidR="00000000" w:rsidRPr="00000000">
        <w:rPr>
          <w:b w:val="1"/>
          <w:rtl w:val="0"/>
        </w:rPr>
        <w:t xml:space="preserve">Legislation</w:t>
      </w:r>
      <w:r w:rsidDel="00000000" w:rsidR="00000000" w:rsidRPr="00000000">
        <w:rPr>
          <w:rtl w:val="0"/>
        </w:rPr>
        <w:t xml:space="preserve"> eg Crime and Disorder Act 1998</w:t>
      </w:r>
    </w:p>
    <w:p w:rsidR="00000000" w:rsidDel="00000000" w:rsidP="00000000" w:rsidRDefault="00000000" w:rsidRPr="00000000" w14:paraId="00000004">
      <w:pPr>
        <w:numPr>
          <w:ilvl w:val="0"/>
          <w:numId w:val="1"/>
        </w:numPr>
        <w:spacing w:after="0" w:afterAutospacing="0" w:before="0" w:beforeAutospacing="0" w:line="288" w:lineRule="auto"/>
        <w:ind w:left="720" w:hanging="360"/>
        <w:rPr>
          <w:u w:val="none"/>
        </w:rPr>
      </w:pPr>
      <w:r w:rsidDel="00000000" w:rsidR="00000000" w:rsidRPr="00000000">
        <w:rPr>
          <w:b w:val="1"/>
          <w:rtl w:val="0"/>
        </w:rPr>
        <w:t xml:space="preserve">Statutory guidance</w:t>
      </w:r>
      <w:r w:rsidDel="00000000" w:rsidR="00000000" w:rsidRPr="00000000">
        <w:rPr>
          <w:rtl w:val="0"/>
        </w:rPr>
        <w:t xml:space="preserve"> eg Working Together to Safeguard Children 2023</w:t>
      </w:r>
    </w:p>
    <w:p w:rsidR="00000000" w:rsidDel="00000000" w:rsidP="00000000" w:rsidRDefault="00000000" w:rsidRPr="00000000" w14:paraId="00000005">
      <w:pPr>
        <w:numPr>
          <w:ilvl w:val="0"/>
          <w:numId w:val="1"/>
        </w:numPr>
        <w:spacing w:after="0" w:afterAutospacing="0" w:before="0" w:beforeAutospacing="0" w:line="288" w:lineRule="auto"/>
        <w:ind w:left="720" w:hanging="360"/>
        <w:rPr>
          <w:u w:val="none"/>
        </w:rPr>
      </w:pPr>
      <w:r w:rsidDel="00000000" w:rsidR="00000000" w:rsidRPr="00000000">
        <w:rPr>
          <w:b w:val="1"/>
          <w:rtl w:val="0"/>
        </w:rPr>
        <w:t xml:space="preserve">Common law</w:t>
      </w:r>
      <w:r w:rsidDel="00000000" w:rsidR="00000000" w:rsidRPr="00000000">
        <w:rPr>
          <w:rtl w:val="0"/>
        </w:rPr>
        <w:t xml:space="preserve"> (most relevant for policing)</w:t>
      </w:r>
    </w:p>
    <w:p w:rsidR="00000000" w:rsidDel="00000000" w:rsidP="00000000" w:rsidRDefault="00000000" w:rsidRPr="00000000" w14:paraId="00000006">
      <w:pPr>
        <w:numPr>
          <w:ilvl w:val="0"/>
          <w:numId w:val="1"/>
        </w:numPr>
        <w:spacing w:after="0" w:afterAutospacing="0" w:before="0" w:beforeAutospacing="0" w:line="288" w:lineRule="auto"/>
        <w:ind w:left="720" w:hanging="360"/>
        <w:rPr>
          <w:b w:val="1"/>
        </w:rPr>
      </w:pPr>
      <w:r w:rsidDel="00000000" w:rsidR="00000000" w:rsidRPr="00000000">
        <w:rPr>
          <w:b w:val="1"/>
          <w:rtl w:val="0"/>
        </w:rPr>
        <w:t xml:space="preserve">Recommendations from government reports or inquiries</w:t>
      </w:r>
    </w:p>
    <w:p w:rsidR="00000000" w:rsidDel="00000000" w:rsidP="00000000" w:rsidRDefault="00000000" w:rsidRPr="00000000" w14:paraId="00000007">
      <w:pPr>
        <w:numPr>
          <w:ilvl w:val="0"/>
          <w:numId w:val="1"/>
        </w:numPr>
        <w:spacing w:after="80" w:before="0" w:beforeAutospacing="0" w:line="288" w:lineRule="auto"/>
        <w:ind w:left="720" w:hanging="360"/>
        <w:rPr>
          <w:b w:val="1"/>
        </w:rPr>
      </w:pPr>
      <w:r w:rsidDel="00000000" w:rsidR="00000000" w:rsidRPr="00000000">
        <w:rPr>
          <w:b w:val="1"/>
          <w:rtl w:val="0"/>
        </w:rPr>
        <w:t xml:space="preserve">Corporate plans and strategies</w:t>
      </w:r>
    </w:p>
    <w:p w:rsidR="00000000" w:rsidDel="00000000" w:rsidP="00000000" w:rsidRDefault="00000000" w:rsidRPr="00000000" w14:paraId="00000008">
      <w:pPr>
        <w:spacing w:after="80" w:before="80" w:line="288" w:lineRule="auto"/>
        <w:rPr/>
      </w:pPr>
      <w:r w:rsidDel="00000000" w:rsidR="00000000" w:rsidRPr="00000000">
        <w:rPr>
          <w:rtl w:val="0"/>
        </w:rPr>
      </w:r>
    </w:p>
    <w:p w:rsidR="00000000" w:rsidDel="00000000" w:rsidP="00000000" w:rsidRDefault="00000000" w:rsidRPr="00000000" w14:paraId="00000009">
      <w:pPr>
        <w:spacing w:after="80" w:before="80" w:line="288" w:lineRule="auto"/>
        <w:rPr/>
      </w:pPr>
      <w:r w:rsidDel="00000000" w:rsidR="00000000" w:rsidRPr="00000000">
        <w:rPr>
          <w:rtl w:val="0"/>
        </w:rPr>
        <w:t xml:space="preserve">You need to describe the drivers, legislation in particular, that apply to your organisation and that are relevant to the proposed data sharing. Legislation may be listed more than once, but with specifics about how it applies to the different organisations, </w:t>
      </w:r>
      <w:r w:rsidDel="00000000" w:rsidR="00000000" w:rsidRPr="00000000">
        <w:rPr>
          <w:rtl w:val="0"/>
        </w:rPr>
        <w:t xml:space="preserve">eg how</w:t>
      </w:r>
      <w:r w:rsidDel="00000000" w:rsidR="00000000" w:rsidRPr="00000000">
        <w:rPr>
          <w:rtl w:val="0"/>
        </w:rPr>
        <w:t xml:space="preserve"> the Crime and Disorder Act 1998 applies to the police versus a local authority.</w:t>
      </w:r>
    </w:p>
    <w:p w:rsidR="00000000" w:rsidDel="00000000" w:rsidP="00000000" w:rsidRDefault="00000000" w:rsidRPr="00000000" w14:paraId="0000000A">
      <w:pPr>
        <w:spacing w:after="80" w:before="80" w:line="288" w:lineRule="auto"/>
        <w:rPr/>
      </w:pPr>
      <w:r w:rsidDel="00000000" w:rsidR="00000000" w:rsidRPr="00000000">
        <w:rPr>
          <w:rtl w:val="0"/>
        </w:rPr>
        <w:t xml:space="preserve">This information will form part of the DPIA and DSA. All legislation can be found at </w:t>
      </w:r>
      <w:hyperlink r:id="rId6">
        <w:r w:rsidDel="00000000" w:rsidR="00000000" w:rsidRPr="00000000">
          <w:rPr>
            <w:color w:val="1155cc"/>
            <w:u w:val="single"/>
            <w:rtl w:val="0"/>
          </w:rPr>
          <w:t xml:space="preserve">www.legislation.gov.uk</w:t>
        </w:r>
      </w:hyperlink>
      <w:r w:rsidDel="00000000" w:rsidR="00000000" w:rsidRPr="00000000">
        <w:rPr>
          <w:rtl w:val="0"/>
        </w:rPr>
        <w:t xml:space="preserve"> </w:t>
      </w:r>
    </w:p>
    <w:p w:rsidR="00000000" w:rsidDel="00000000" w:rsidP="00000000" w:rsidRDefault="00000000" w:rsidRPr="00000000" w14:paraId="0000000B">
      <w:pPr>
        <w:spacing w:after="80" w:before="80" w:line="288" w:lineRule="auto"/>
        <w:rPr/>
      </w:pPr>
      <w:r w:rsidDel="00000000" w:rsidR="00000000" w:rsidRPr="00000000">
        <w:rPr>
          <w:rtl w:val="0"/>
        </w:rPr>
      </w:r>
    </w:p>
    <w:tbl>
      <w:tblPr>
        <w:tblStyle w:val="Table1"/>
        <w:tblW w:w="1404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12120"/>
        <w:tblGridChange w:id="0">
          <w:tblGrid>
            <w:gridCol w:w="1920"/>
            <w:gridCol w:w="12120"/>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0C">
            <w:pPr>
              <w:spacing w:after="80" w:before="80" w:line="288" w:lineRule="auto"/>
              <w:ind w:left="0" w:firstLine="0"/>
              <w:rPr>
                <w:b w:val="1"/>
              </w:rPr>
            </w:pPr>
            <w:r w:rsidDel="00000000" w:rsidR="00000000" w:rsidRPr="00000000">
              <w:rPr>
                <w:b w:val="1"/>
                <w:rtl w:val="0"/>
              </w:rPr>
              <w:t xml:space="preserve">Name of DSA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r>
          </w:p>
        </w:tc>
      </w:tr>
    </w:tbl>
    <w:p w:rsidR="00000000" w:rsidDel="00000000" w:rsidP="00000000" w:rsidRDefault="00000000" w:rsidRPr="00000000" w14:paraId="0000000E">
      <w:pPr>
        <w:spacing w:after="80" w:before="80" w:line="288" w:lineRule="auto"/>
        <w:rPr/>
      </w:pPr>
      <w:r w:rsidDel="00000000" w:rsidR="00000000" w:rsidRPr="00000000">
        <w:rPr>
          <w:rtl w:val="0"/>
        </w:rPr>
      </w:r>
    </w:p>
    <w:tbl>
      <w:tblPr>
        <w:tblStyle w:val="Table2"/>
        <w:tblW w:w="140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65"/>
        <w:gridCol w:w="6330"/>
        <w:gridCol w:w="4275"/>
        <w:tblGridChange w:id="0">
          <w:tblGrid>
            <w:gridCol w:w="3465"/>
            <w:gridCol w:w="6330"/>
            <w:gridCol w:w="4275"/>
          </w:tblGrid>
        </w:tblGridChange>
      </w:tblGrid>
      <w:tr>
        <w:trPr>
          <w:cantSplit w:val="1"/>
          <w:tblHeader w:val="1"/>
        </w:trPr>
        <w:tc>
          <w:tcPr>
            <w:shd w:fill="fff2cc" w:val="clear"/>
          </w:tcPr>
          <w:p w:rsidR="00000000" w:rsidDel="00000000" w:rsidP="00000000" w:rsidRDefault="00000000" w:rsidRPr="00000000" w14:paraId="0000000F">
            <w:pPr>
              <w:spacing w:after="80" w:before="80" w:line="288" w:lineRule="auto"/>
              <w:rPr>
                <w:b w:val="1"/>
              </w:rPr>
            </w:pPr>
            <w:r w:rsidDel="00000000" w:rsidR="00000000" w:rsidRPr="00000000">
              <w:rPr>
                <w:b w:val="1"/>
                <w:rtl w:val="0"/>
              </w:rPr>
              <w:t xml:space="preserve">Legislation or other driver (name and date) </w:t>
            </w:r>
          </w:p>
        </w:tc>
        <w:tc>
          <w:tcPr>
            <w:shd w:fill="fff2cc" w:val="clear"/>
          </w:tcPr>
          <w:p w:rsidR="00000000" w:rsidDel="00000000" w:rsidP="00000000" w:rsidRDefault="00000000" w:rsidRPr="00000000" w14:paraId="00000010">
            <w:pPr>
              <w:spacing w:after="80" w:before="80" w:line="288" w:lineRule="auto"/>
              <w:rPr/>
            </w:pPr>
            <w:r w:rsidDel="00000000" w:rsidR="00000000" w:rsidRPr="00000000">
              <w:rPr>
                <w:b w:val="1"/>
                <w:rtl w:val="0"/>
              </w:rPr>
              <w:t xml:space="preserve">Main purpose and how it it impacts your organisation </w:t>
            </w:r>
            <w:r w:rsidDel="00000000" w:rsidR="00000000" w:rsidRPr="00000000">
              <w:rPr>
                <w:rtl w:val="0"/>
              </w:rPr>
              <w:t xml:space="preserve">(list relevant section numbers)</w:t>
            </w:r>
          </w:p>
        </w:tc>
        <w:tc>
          <w:tcPr>
            <w:shd w:fill="fff2cc" w:val="clear"/>
          </w:tcPr>
          <w:p w:rsidR="00000000" w:rsidDel="00000000" w:rsidP="00000000" w:rsidRDefault="00000000" w:rsidRPr="00000000" w14:paraId="00000011">
            <w:pPr>
              <w:spacing w:after="80" w:before="80" w:line="288" w:lineRule="auto"/>
              <w:rPr/>
            </w:pPr>
            <w:r w:rsidDel="00000000" w:rsidR="00000000" w:rsidRPr="00000000">
              <w:rPr>
                <w:b w:val="1"/>
                <w:rtl w:val="0"/>
              </w:rPr>
              <w:t xml:space="preserve">Organisation to which the legislation applies </w:t>
            </w:r>
            <w:r w:rsidDel="00000000" w:rsidR="00000000" w:rsidRPr="00000000">
              <w:rPr>
                <w:rtl w:val="0"/>
              </w:rPr>
              <w:t xml:space="preserve">(this may be a named organisation or a type of organisation eg Local Authority)</w:t>
            </w:r>
          </w:p>
        </w:tc>
      </w:tr>
      <w:tr>
        <w:trPr>
          <w:cantSplit w:val="1"/>
          <w:tblHeader w:val="0"/>
        </w:trPr>
        <w:tc>
          <w:tcPr/>
          <w:p w:rsidR="00000000" w:rsidDel="00000000" w:rsidP="00000000" w:rsidRDefault="00000000" w:rsidRPr="00000000" w14:paraId="00000012">
            <w:pPr>
              <w:spacing w:after="80" w:before="80" w:line="288" w:lineRule="auto"/>
              <w:rPr>
                <w:sz w:val="20"/>
                <w:szCs w:val="20"/>
              </w:rPr>
            </w:pPr>
            <w:r w:rsidDel="00000000" w:rsidR="00000000" w:rsidRPr="00000000">
              <w:rPr>
                <w:rtl w:val="0"/>
              </w:rPr>
            </w:r>
          </w:p>
        </w:tc>
        <w:tc>
          <w:tcPr/>
          <w:p w:rsidR="00000000" w:rsidDel="00000000" w:rsidP="00000000" w:rsidRDefault="00000000" w:rsidRPr="00000000" w14:paraId="00000013">
            <w:pPr>
              <w:spacing w:after="80" w:before="80" w:line="288" w:lineRule="auto"/>
              <w:rPr>
                <w:sz w:val="20"/>
                <w:szCs w:val="20"/>
              </w:rPr>
            </w:pPr>
            <w:r w:rsidDel="00000000" w:rsidR="00000000" w:rsidRPr="00000000">
              <w:rPr>
                <w:rtl w:val="0"/>
              </w:rPr>
            </w:r>
          </w:p>
        </w:tc>
        <w:tc>
          <w:tcPr/>
          <w:p w:rsidR="00000000" w:rsidDel="00000000" w:rsidP="00000000" w:rsidRDefault="00000000" w:rsidRPr="00000000" w14:paraId="00000014">
            <w:pPr>
              <w:spacing w:after="80" w:before="80" w:line="288" w:lineRule="auto"/>
              <w:rPr>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015">
            <w:pPr>
              <w:spacing w:after="80" w:before="80" w:line="288" w:lineRule="auto"/>
              <w:rPr>
                <w:sz w:val="20"/>
                <w:szCs w:val="20"/>
              </w:rPr>
            </w:pPr>
            <w:r w:rsidDel="00000000" w:rsidR="00000000" w:rsidRPr="00000000">
              <w:rPr>
                <w:rtl w:val="0"/>
              </w:rPr>
            </w:r>
          </w:p>
        </w:tc>
        <w:tc>
          <w:tcPr/>
          <w:p w:rsidR="00000000" w:rsidDel="00000000" w:rsidP="00000000" w:rsidRDefault="00000000" w:rsidRPr="00000000" w14:paraId="00000016">
            <w:pPr>
              <w:spacing w:after="80" w:before="80" w:line="288" w:lineRule="auto"/>
              <w:rPr>
                <w:sz w:val="20"/>
                <w:szCs w:val="20"/>
              </w:rPr>
            </w:pPr>
            <w:r w:rsidDel="00000000" w:rsidR="00000000" w:rsidRPr="00000000">
              <w:rPr>
                <w:rtl w:val="0"/>
              </w:rPr>
            </w:r>
          </w:p>
        </w:tc>
        <w:tc>
          <w:tcPr/>
          <w:p w:rsidR="00000000" w:rsidDel="00000000" w:rsidP="00000000" w:rsidRDefault="00000000" w:rsidRPr="00000000" w14:paraId="00000017">
            <w:pPr>
              <w:spacing w:after="80" w:before="80" w:line="288" w:lineRule="auto"/>
              <w:rPr>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018">
            <w:pPr>
              <w:spacing w:after="80" w:before="80" w:line="288" w:lineRule="auto"/>
              <w:rPr>
                <w:sz w:val="20"/>
                <w:szCs w:val="20"/>
              </w:rPr>
            </w:pPr>
            <w:r w:rsidDel="00000000" w:rsidR="00000000" w:rsidRPr="00000000">
              <w:rPr>
                <w:rtl w:val="0"/>
              </w:rPr>
            </w:r>
          </w:p>
        </w:tc>
        <w:tc>
          <w:tcPr/>
          <w:p w:rsidR="00000000" w:rsidDel="00000000" w:rsidP="00000000" w:rsidRDefault="00000000" w:rsidRPr="00000000" w14:paraId="00000019">
            <w:pPr>
              <w:spacing w:after="80" w:before="80" w:line="288" w:lineRule="auto"/>
              <w:rPr>
                <w:sz w:val="20"/>
                <w:szCs w:val="20"/>
              </w:rPr>
            </w:pPr>
            <w:r w:rsidDel="00000000" w:rsidR="00000000" w:rsidRPr="00000000">
              <w:rPr>
                <w:rtl w:val="0"/>
              </w:rPr>
            </w:r>
          </w:p>
        </w:tc>
        <w:tc>
          <w:tcPr/>
          <w:p w:rsidR="00000000" w:rsidDel="00000000" w:rsidP="00000000" w:rsidRDefault="00000000" w:rsidRPr="00000000" w14:paraId="0000001A">
            <w:pPr>
              <w:spacing w:after="80" w:before="80" w:line="288" w:lineRule="auto"/>
              <w:rPr>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01B">
            <w:pPr>
              <w:spacing w:after="80" w:before="80" w:line="288" w:lineRule="auto"/>
              <w:rPr>
                <w:sz w:val="20"/>
                <w:szCs w:val="20"/>
              </w:rPr>
            </w:pPr>
            <w:r w:rsidDel="00000000" w:rsidR="00000000" w:rsidRPr="00000000">
              <w:rPr>
                <w:rtl w:val="0"/>
              </w:rPr>
            </w:r>
          </w:p>
        </w:tc>
        <w:tc>
          <w:tcPr/>
          <w:p w:rsidR="00000000" w:rsidDel="00000000" w:rsidP="00000000" w:rsidRDefault="00000000" w:rsidRPr="00000000" w14:paraId="0000001C">
            <w:pPr>
              <w:spacing w:after="80" w:before="80" w:line="288" w:lineRule="auto"/>
              <w:rPr>
                <w:sz w:val="20"/>
                <w:szCs w:val="20"/>
              </w:rPr>
            </w:pPr>
            <w:r w:rsidDel="00000000" w:rsidR="00000000" w:rsidRPr="00000000">
              <w:rPr>
                <w:rtl w:val="0"/>
              </w:rPr>
            </w:r>
          </w:p>
        </w:tc>
        <w:tc>
          <w:tcPr/>
          <w:p w:rsidR="00000000" w:rsidDel="00000000" w:rsidP="00000000" w:rsidRDefault="00000000" w:rsidRPr="00000000" w14:paraId="0000001D">
            <w:pPr>
              <w:spacing w:after="80" w:before="80" w:line="288" w:lineRule="auto"/>
              <w:rPr>
                <w:color w:val="202124"/>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01E">
            <w:pPr>
              <w:spacing w:after="80" w:before="80" w:line="288" w:lineRule="auto"/>
              <w:rPr>
                <w:sz w:val="20"/>
                <w:szCs w:val="20"/>
              </w:rPr>
            </w:pPr>
            <w:r w:rsidDel="00000000" w:rsidR="00000000" w:rsidRPr="00000000">
              <w:rPr>
                <w:rtl w:val="0"/>
              </w:rPr>
            </w:r>
          </w:p>
        </w:tc>
        <w:tc>
          <w:tcPr/>
          <w:p w:rsidR="00000000" w:rsidDel="00000000" w:rsidP="00000000" w:rsidRDefault="00000000" w:rsidRPr="00000000" w14:paraId="0000001F">
            <w:pPr>
              <w:spacing w:after="80" w:before="80" w:line="288" w:lineRule="auto"/>
              <w:rPr>
                <w:sz w:val="20"/>
                <w:szCs w:val="20"/>
              </w:rPr>
            </w:pPr>
            <w:r w:rsidDel="00000000" w:rsidR="00000000" w:rsidRPr="00000000">
              <w:rPr>
                <w:rtl w:val="0"/>
              </w:rPr>
            </w:r>
          </w:p>
        </w:tc>
        <w:tc>
          <w:tcPr/>
          <w:p w:rsidR="00000000" w:rsidDel="00000000" w:rsidP="00000000" w:rsidRDefault="00000000" w:rsidRPr="00000000" w14:paraId="00000020">
            <w:pPr>
              <w:spacing w:after="80" w:before="80" w:line="288" w:lineRule="auto"/>
              <w:rPr>
                <w:color w:val="4d5156"/>
                <w:sz w:val="20"/>
                <w:szCs w:val="20"/>
              </w:rPr>
            </w:pPr>
            <w:r w:rsidDel="00000000" w:rsidR="00000000" w:rsidRPr="00000000">
              <w:rPr>
                <w:rtl w:val="0"/>
              </w:rPr>
            </w:r>
          </w:p>
        </w:tc>
      </w:tr>
    </w:tbl>
    <w:p w:rsidR="00000000" w:rsidDel="00000000" w:rsidP="00000000" w:rsidRDefault="00000000" w:rsidRPr="00000000" w14:paraId="00000021">
      <w:pPr>
        <w:spacing w:after="80" w:before="80" w:line="288" w:lineRule="auto"/>
        <w:ind w:left="454" w:firstLine="0"/>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7" w:type="default"/>
      <w:footerReference r:id="rId8" w:type="default"/>
      <w:pgSz w:h="11909" w:w="16834" w:orient="landscape"/>
      <w:pgMar w:bottom="1440" w:top="1440" w:left="1440" w:right="1440" w:header="283.46456692913387"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egislation.gov.uk"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